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6D765">
      <w:pPr>
        <w:pStyle w:val="3"/>
        <w:spacing w:before="38" w:line="190" w:lineRule="auto"/>
      </w:pPr>
      <w:bookmarkStart w:id="0" w:name="_GoBack"/>
      <w:bookmarkEnd w:id="0"/>
      <w:r>
        <w:rPr>
          <w:spacing w:val="1"/>
        </w:rPr>
        <w:t>项目采购公告</w:t>
      </w:r>
    </w:p>
    <w:p w14:paraId="35BD8500">
      <w:pPr>
        <w:pStyle w:val="3"/>
        <w:spacing w:before="173" w:line="195" w:lineRule="auto"/>
        <w:ind w:firstLine="1397" w:firstLineChars="600"/>
        <w:jc w:val="both"/>
        <w:outlineLvl w:val="0"/>
        <w:rPr>
          <w:sz w:val="22"/>
          <w:szCs w:val="22"/>
        </w:rPr>
      </w:pPr>
      <w:r>
        <w:rPr>
          <w:b/>
          <w:bCs/>
          <w:spacing w:val="6"/>
          <w:sz w:val="22"/>
          <w:szCs w:val="22"/>
        </w:rPr>
        <w:t>重庆西南铝医院</w:t>
      </w:r>
      <w:r>
        <w:rPr>
          <w:rFonts w:hint="eastAsia"/>
          <w:b/>
          <w:bCs/>
          <w:spacing w:val="6"/>
          <w:sz w:val="22"/>
          <w:szCs w:val="22"/>
          <w:lang w:eastAsia="zh-CN"/>
        </w:rPr>
        <w:t>薪酬</w:t>
      </w:r>
      <w:r>
        <w:rPr>
          <w:rFonts w:hint="eastAsia"/>
          <w:b/>
          <w:bCs/>
          <w:spacing w:val="6"/>
          <w:sz w:val="22"/>
          <w:szCs w:val="22"/>
          <w:lang w:val="en-US" w:eastAsia="zh-CN"/>
        </w:rPr>
        <w:t>绩效</w:t>
      </w:r>
      <w:r>
        <w:rPr>
          <w:rFonts w:hint="eastAsia"/>
          <w:b/>
          <w:bCs/>
          <w:spacing w:val="6"/>
          <w:sz w:val="22"/>
          <w:szCs w:val="22"/>
          <w:lang w:eastAsia="zh-CN"/>
        </w:rPr>
        <w:t>分配方案设计咨询服务项目</w:t>
      </w:r>
      <w:r>
        <w:rPr>
          <w:b/>
          <w:bCs/>
          <w:spacing w:val="5"/>
          <w:sz w:val="22"/>
          <w:szCs w:val="22"/>
        </w:rPr>
        <w:t>采购</w:t>
      </w:r>
      <w:r>
        <w:rPr>
          <w:rFonts w:hint="eastAsia"/>
          <w:b/>
          <w:bCs/>
          <w:spacing w:val="5"/>
          <w:sz w:val="22"/>
          <w:szCs w:val="22"/>
          <w:lang w:val="en-US" w:eastAsia="zh-CN"/>
        </w:rPr>
        <w:t>询价</w:t>
      </w:r>
      <w:r>
        <w:rPr>
          <w:b/>
          <w:bCs/>
          <w:spacing w:val="5"/>
          <w:sz w:val="22"/>
          <w:szCs w:val="22"/>
        </w:rPr>
        <w:t>公告</w:t>
      </w:r>
    </w:p>
    <w:p w14:paraId="411D5C35">
      <w:pPr>
        <w:pStyle w:val="3"/>
        <w:spacing w:before="119" w:line="239" w:lineRule="auto"/>
        <w:ind w:left="3181"/>
        <w:outlineLvl w:val="0"/>
        <w:rPr>
          <w:sz w:val="22"/>
          <w:szCs w:val="22"/>
        </w:rPr>
      </w:pPr>
      <w:r>
        <w:rPr>
          <w:b/>
          <w:bCs/>
          <w:spacing w:val="11"/>
          <w:sz w:val="22"/>
          <w:szCs w:val="22"/>
        </w:rPr>
        <w:t>（</w:t>
      </w:r>
      <w:r>
        <w:rPr>
          <w:b/>
          <w:bCs/>
          <w:color w:val="C00000"/>
          <w:spacing w:val="11"/>
          <w:sz w:val="22"/>
          <w:szCs w:val="22"/>
        </w:rPr>
        <w:t>采购编号：</w:t>
      </w:r>
      <w:r>
        <w:rPr>
          <w:rFonts w:ascii="Trebuchet MS" w:hAnsi="Trebuchet MS" w:eastAsia="Trebuchet MS" w:cs="Trebuchet MS"/>
          <w:b/>
          <w:bCs/>
          <w:color w:val="FF0000"/>
          <w:spacing w:val="11"/>
          <w:sz w:val="22"/>
          <w:szCs w:val="22"/>
        </w:rPr>
        <w:t>5747-2542</w:t>
      </w:r>
      <w:r>
        <w:rPr>
          <w:rFonts w:ascii="Trebuchet MS" w:hAnsi="Trebuchet MS" w:eastAsia="Trebuchet MS" w:cs="Trebuchet MS"/>
          <w:b/>
          <w:bCs/>
          <w:color w:val="FF0000"/>
          <w:sz w:val="22"/>
          <w:szCs w:val="22"/>
        </w:rPr>
        <w:t>GYGYL</w:t>
      </w:r>
      <w:r>
        <w:rPr>
          <w:rFonts w:ascii="Trebuchet MS" w:hAnsi="Trebuchet MS" w:eastAsia="Trebuchet MS" w:cs="Trebuchet MS"/>
          <w:b/>
          <w:bCs/>
          <w:color w:val="FF0000"/>
          <w:spacing w:val="11"/>
          <w:sz w:val="22"/>
          <w:szCs w:val="22"/>
        </w:rPr>
        <w:t>809</w:t>
      </w:r>
      <w:r>
        <w:rPr>
          <w:rFonts w:hint="eastAsia"/>
          <w:b/>
          <w:bCs/>
          <w:color w:val="C00000"/>
          <w:spacing w:val="11"/>
          <w:sz w:val="22"/>
          <w:szCs w:val="22"/>
          <w:lang w:val="en-US" w:eastAsia="zh-CN"/>
        </w:rPr>
        <w:t xml:space="preserve">      </w:t>
      </w:r>
      <w:r>
        <w:rPr>
          <w:rFonts w:ascii="Trebuchet MS" w:hAnsi="Trebuchet MS" w:eastAsia="Trebuchet MS" w:cs="Trebuchet MS"/>
          <w:color w:val="C00000"/>
          <w:spacing w:val="-13"/>
          <w:sz w:val="22"/>
          <w:szCs w:val="22"/>
        </w:rPr>
        <w:t xml:space="preserve"> </w:t>
      </w:r>
      <w:r>
        <w:rPr>
          <w:b/>
          <w:bCs/>
          <w:spacing w:val="11"/>
          <w:sz w:val="22"/>
          <w:szCs w:val="22"/>
        </w:rPr>
        <w:t>）</w:t>
      </w:r>
    </w:p>
    <w:p w14:paraId="1B272560">
      <w:pPr>
        <w:pStyle w:val="3"/>
        <w:spacing w:before="105" w:line="236" w:lineRule="auto"/>
      </w:pPr>
      <w:r>
        <w:rPr>
          <w:spacing w:val="-2"/>
        </w:rPr>
        <w:t>项目所在地区</w:t>
      </w:r>
      <w:r>
        <w:rPr>
          <w:spacing w:val="-12"/>
        </w:rPr>
        <w:t xml:space="preserve"> </w:t>
      </w:r>
      <w:r>
        <w:rPr>
          <w:spacing w:val="-2"/>
        </w:rPr>
        <w:t>：重庆市</w:t>
      </w:r>
      <w:r>
        <w:rPr>
          <w:rFonts w:ascii="Arial" w:hAnsi="Arial" w:eastAsia="Arial" w:cs="Arial"/>
          <w:spacing w:val="-2"/>
        </w:rPr>
        <w:t>/</w:t>
      </w:r>
      <w:r>
        <w:rPr>
          <w:spacing w:val="-2"/>
        </w:rPr>
        <w:t>市辖区</w:t>
      </w:r>
    </w:p>
    <w:p w14:paraId="294FA7ED">
      <w:pPr>
        <w:pStyle w:val="3"/>
        <w:spacing w:before="171" w:line="189" w:lineRule="auto"/>
        <w:ind w:left="4"/>
        <w:outlineLvl w:val="1"/>
      </w:pPr>
      <w:r>
        <w:rPr>
          <w:b/>
          <w:bCs/>
          <w:spacing w:val="-2"/>
        </w:rPr>
        <w:t>一、采购条件</w:t>
      </w:r>
    </w:p>
    <w:p w14:paraId="5F2C6F80">
      <w:pPr>
        <w:pStyle w:val="3"/>
        <w:spacing w:before="178" w:line="181" w:lineRule="auto"/>
        <w:ind w:right="1" w:firstLine="385"/>
        <w:rPr>
          <w:rFonts w:hint="eastAsia" w:eastAsia="PingFang SC"/>
          <w:lang w:eastAsia="zh-CN"/>
        </w:rPr>
      </w:pPr>
      <w:r>
        <w:rPr>
          <w:rFonts w:hint="eastAsia"/>
          <w:spacing w:val="1"/>
          <w:lang w:eastAsia="zh-CN"/>
        </w:rPr>
        <w:t>重庆西南铝医院薪酬</w:t>
      </w:r>
      <w:r>
        <w:rPr>
          <w:rFonts w:hint="eastAsia"/>
          <w:spacing w:val="1"/>
          <w:lang w:val="en-US" w:eastAsia="zh-CN"/>
        </w:rPr>
        <w:t>绩效</w:t>
      </w:r>
      <w:r>
        <w:rPr>
          <w:rFonts w:hint="eastAsia"/>
          <w:spacing w:val="1"/>
          <w:lang w:eastAsia="zh-CN"/>
        </w:rPr>
        <w:t>分配方案设计咨询服务</w:t>
      </w:r>
      <w:r>
        <w:rPr>
          <w:rFonts w:hint="eastAsia"/>
          <w:spacing w:val="1"/>
          <w:lang w:val="en-US" w:eastAsia="zh-CN"/>
        </w:rPr>
        <w:t>项目</w:t>
      </w:r>
      <w:r>
        <w:rPr>
          <w:spacing w:val="1"/>
        </w:rPr>
        <w:t>已由</w:t>
      </w:r>
      <w:r>
        <w:rPr>
          <w:rFonts w:hint="eastAsia"/>
          <w:spacing w:val="1"/>
          <w:lang w:val="en-US" w:eastAsia="zh-CN"/>
        </w:rPr>
        <w:t>项目</w:t>
      </w:r>
      <w:r>
        <w:rPr>
          <w:spacing w:val="1"/>
        </w:rPr>
        <w:t>审批</w:t>
      </w:r>
      <w:r>
        <w:rPr>
          <w:rFonts w:ascii="Arial" w:hAnsi="Arial" w:eastAsia="Arial" w:cs="Arial"/>
          <w:spacing w:val="1"/>
        </w:rPr>
        <w:t>/</w:t>
      </w:r>
      <w:r>
        <w:rPr>
          <w:spacing w:val="1"/>
        </w:rPr>
        <w:t>核准</w:t>
      </w:r>
      <w:r>
        <w:rPr>
          <w:rFonts w:ascii="Arial" w:hAnsi="Arial" w:eastAsia="Arial" w:cs="Arial"/>
          <w:spacing w:val="1"/>
        </w:rPr>
        <w:t>/</w:t>
      </w:r>
      <w:r>
        <w:t>备案机关批准</w:t>
      </w:r>
      <w:r>
        <w:rPr>
          <w:rFonts w:hint="eastAsia"/>
          <w:lang w:eastAsia="zh-CN"/>
        </w:rPr>
        <w:t>，</w:t>
      </w:r>
      <w:r>
        <w:t>项目资金来源为自筹资</w:t>
      </w:r>
      <w:r>
        <w:rPr>
          <w:spacing w:val="-2"/>
        </w:rPr>
        <w:t>金</w:t>
      </w:r>
      <w:r>
        <w:rPr>
          <w:rFonts w:hint="eastAsia"/>
          <w:spacing w:val="-2"/>
          <w:lang w:eastAsia="zh-CN"/>
        </w:rPr>
        <w:t>，</w:t>
      </w:r>
      <w:r>
        <w:rPr>
          <w:spacing w:val="-2"/>
        </w:rPr>
        <w:t>采购人为重庆西南铝医院</w:t>
      </w:r>
      <w:r>
        <w:rPr>
          <w:rFonts w:hint="eastAsia"/>
          <w:spacing w:val="-2"/>
          <w:lang w:eastAsia="zh-CN"/>
        </w:rPr>
        <w:t>。</w:t>
      </w:r>
      <w:r>
        <w:rPr>
          <w:spacing w:val="-2"/>
        </w:rPr>
        <w:t>本项目已具备采购条件</w:t>
      </w:r>
      <w:r>
        <w:rPr>
          <w:rFonts w:hint="eastAsia"/>
          <w:spacing w:val="-2"/>
          <w:lang w:eastAsia="zh-CN"/>
        </w:rPr>
        <w:t>，</w:t>
      </w:r>
      <w:r>
        <w:rPr>
          <w:spacing w:val="-2"/>
        </w:rPr>
        <w:t>现采购方式为询比采购</w:t>
      </w:r>
      <w:r>
        <w:rPr>
          <w:rFonts w:hint="eastAsia"/>
          <w:spacing w:val="-2"/>
          <w:lang w:eastAsia="zh-CN"/>
        </w:rPr>
        <w:t>。</w:t>
      </w:r>
    </w:p>
    <w:p w14:paraId="12105363">
      <w:pPr>
        <w:pStyle w:val="3"/>
        <w:spacing w:before="216" w:line="190" w:lineRule="auto"/>
        <w:ind w:left="4"/>
        <w:outlineLvl w:val="1"/>
      </w:pPr>
      <w:r>
        <w:rPr>
          <w:b/>
          <w:bCs/>
          <w:spacing w:val="-1"/>
        </w:rPr>
        <w:t>二、项目概况和采购范围</w:t>
      </w:r>
    </w:p>
    <w:p w14:paraId="44E4BDB3">
      <w:pPr>
        <w:pStyle w:val="3"/>
        <w:spacing w:before="206" w:line="191" w:lineRule="auto"/>
        <w:ind w:left="385"/>
        <w:rPr>
          <w:rFonts w:hint="eastAsia" w:eastAsia="PingFang SC"/>
          <w:lang w:eastAsia="zh-CN"/>
        </w:rPr>
      </w:pPr>
      <w:r>
        <w:t>规模</w:t>
      </w:r>
      <w:r>
        <w:rPr>
          <w:spacing w:val="-11"/>
        </w:rPr>
        <w:t xml:space="preserve"> </w:t>
      </w:r>
      <w:r>
        <w:t>：</w:t>
      </w:r>
      <w:r>
        <w:rPr>
          <w:rFonts w:hint="eastAsia"/>
          <w:lang w:eastAsia="zh-CN"/>
        </w:rPr>
        <w:t>重庆西南铝医院薪酬</w:t>
      </w:r>
      <w:r>
        <w:rPr>
          <w:rFonts w:hint="eastAsia"/>
          <w:lang w:val="en-US" w:eastAsia="zh-CN"/>
        </w:rPr>
        <w:t>绩效</w:t>
      </w:r>
      <w:r>
        <w:rPr>
          <w:rFonts w:hint="eastAsia"/>
          <w:lang w:eastAsia="zh-CN"/>
        </w:rPr>
        <w:t>分配方案设计咨询服务。</w:t>
      </w:r>
    </w:p>
    <w:p w14:paraId="0859DD6C">
      <w:pPr>
        <w:pStyle w:val="3"/>
        <w:spacing w:before="145" w:line="184" w:lineRule="auto"/>
        <w:ind w:left="386"/>
        <w:rPr>
          <w:rFonts w:hint="eastAsia"/>
          <w:spacing w:val="-1"/>
          <w:lang w:eastAsia="zh-CN"/>
        </w:rPr>
      </w:pPr>
      <w:r>
        <w:rPr>
          <w:spacing w:val="-1"/>
        </w:rPr>
        <w:t>范围：本采购项目划分为</w:t>
      </w:r>
      <w:r>
        <w:rPr>
          <w:rFonts w:ascii="Arial" w:hAnsi="Arial" w:eastAsia="Arial" w:cs="Arial"/>
          <w:spacing w:val="-1"/>
        </w:rPr>
        <w:t>1</w:t>
      </w:r>
      <w:r>
        <w:rPr>
          <w:spacing w:val="-1"/>
        </w:rPr>
        <w:t>个标段，本次采购为</w:t>
      </w:r>
      <w:r>
        <w:rPr>
          <w:rFonts w:hint="eastAsia"/>
          <w:spacing w:val="-1"/>
          <w:lang w:eastAsia="zh-CN"/>
        </w:rPr>
        <w:t>重庆西南铝医院薪酬</w:t>
      </w:r>
      <w:r>
        <w:rPr>
          <w:rFonts w:hint="eastAsia"/>
          <w:spacing w:val="-1"/>
          <w:lang w:val="en-US" w:eastAsia="zh-CN"/>
        </w:rPr>
        <w:t>绩效</w:t>
      </w:r>
      <w:r>
        <w:rPr>
          <w:rFonts w:hint="eastAsia"/>
          <w:spacing w:val="-1"/>
          <w:lang w:eastAsia="zh-CN"/>
        </w:rPr>
        <w:t>分配方案设计咨询服务。</w:t>
      </w:r>
    </w:p>
    <w:p w14:paraId="46BE48F9">
      <w:pPr>
        <w:pStyle w:val="3"/>
        <w:spacing w:before="206" w:line="191" w:lineRule="auto"/>
        <w:ind w:left="385"/>
        <w:rPr>
          <w:rFonts w:hint="eastAsia"/>
          <w:lang w:eastAsia="zh-CN"/>
        </w:rPr>
      </w:pPr>
      <w:r>
        <w:rPr>
          <w:rFonts w:hint="eastAsia"/>
          <w:lang w:eastAsia="zh-CN"/>
        </w:rPr>
        <w:t>采 购 人 ：重庆西南铝医院</w:t>
      </w:r>
    </w:p>
    <w:p w14:paraId="740EE710">
      <w:pPr>
        <w:pStyle w:val="3"/>
        <w:spacing w:before="206" w:line="191" w:lineRule="auto"/>
        <w:ind w:left="385"/>
        <w:rPr>
          <w:rFonts w:hint="eastAsia"/>
          <w:lang w:eastAsia="zh-CN"/>
        </w:rPr>
      </w:pPr>
      <w:r>
        <w:rPr>
          <w:rFonts w:hint="eastAsia"/>
          <w:lang w:eastAsia="zh-CN"/>
        </w:rPr>
        <w:t>地 址 ：重庆市九龙坡区西彭镇西华路15号</w:t>
      </w:r>
    </w:p>
    <w:p w14:paraId="1871EAD3">
      <w:pPr>
        <w:pStyle w:val="3"/>
        <w:numPr>
          <w:ilvl w:val="0"/>
          <w:numId w:val="0"/>
        </w:numPr>
        <w:spacing w:before="112" w:line="190" w:lineRule="auto"/>
        <w:rPr>
          <w:rFonts w:hint="eastAsia"/>
          <w:b/>
          <w:bCs/>
          <w:spacing w:val="-2"/>
          <w:lang w:val="en-US" w:eastAsia="zh-CN"/>
        </w:rPr>
      </w:pPr>
      <w:r>
        <w:rPr>
          <w:rFonts w:hint="eastAsia"/>
          <w:b/>
          <w:bCs/>
          <w:spacing w:val="-2"/>
          <w:lang w:val="en-US" w:eastAsia="zh-CN"/>
        </w:rPr>
        <w:t>三、采购需求</w:t>
      </w:r>
    </w:p>
    <w:p w14:paraId="0429A98E">
      <w:pPr>
        <w:pStyle w:val="3"/>
        <w:numPr>
          <w:ilvl w:val="0"/>
          <w:numId w:val="0"/>
        </w:numPr>
        <w:spacing w:before="112" w:line="190" w:lineRule="auto"/>
        <w:ind w:firstLine="384" w:firstLineChars="200"/>
        <w:rPr>
          <w:rFonts w:hint="default"/>
          <w:b/>
          <w:bCs/>
          <w:spacing w:val="-2"/>
          <w:lang w:val="en-US" w:eastAsia="zh-CN"/>
        </w:rPr>
      </w:pPr>
      <w:r>
        <w:rPr>
          <w:rFonts w:hint="eastAsia" w:ascii="PingFang SC" w:hAnsi="PingFang SC" w:eastAsia="PingFang SC" w:cs="PingFang SC"/>
          <w:snapToGrid w:val="0"/>
          <w:color w:val="000000"/>
          <w:spacing w:val="1"/>
          <w:kern w:val="0"/>
          <w:sz w:val="19"/>
          <w:szCs w:val="19"/>
          <w:lang w:val="en-US" w:eastAsia="zh-CN" w:bidi="ar-SA"/>
        </w:rPr>
        <w:t>构建符合国家薪酬制度改革和国家卫健委绩效考核指标要求，符合医院特点的薪酬绩效分配方案，实现优化医院绩效管理体系，提升医院运营效率与服务质量。</w:t>
      </w:r>
    </w:p>
    <w:p w14:paraId="17705B2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firstLine="384" w:firstLineChars="20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1.提供薪酬方案设计，按各职系进行薪酬分配方案设计</w:t>
      </w:r>
    </w:p>
    <w:p w14:paraId="0364F8E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firstLine="384" w:firstLineChars="20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2.管理人员绩效核算设计要求</w:t>
      </w:r>
    </w:p>
    <w:p w14:paraId="226ED90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firstLine="384" w:firstLineChars="20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3.成本管理方案设计要求</w:t>
      </w:r>
    </w:p>
    <w:p w14:paraId="2925115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firstLine="384" w:firstLineChars="20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4.单项奖励设计要求</w:t>
      </w:r>
    </w:p>
    <w:p w14:paraId="63E3B16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firstLine="384" w:firstLineChars="20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5.二次分配方案设计要求</w:t>
      </w:r>
    </w:p>
    <w:p w14:paraId="1D11A45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firstLine="384" w:firstLineChars="20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6.设置差异化绩效分配调节系数</w:t>
      </w:r>
    </w:p>
    <w:p w14:paraId="59815CF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firstLine="384" w:firstLineChars="20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7.医院绩效考核方案设计要求</w:t>
      </w:r>
    </w:p>
    <w:p w14:paraId="38FD773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firstLine="384" w:firstLineChars="20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8.指导医院运营管理体系建设要求</w:t>
      </w:r>
    </w:p>
    <w:p w14:paraId="4CF522CD">
      <w:pPr>
        <w:pStyle w:val="3"/>
        <w:spacing w:before="215" w:line="190" w:lineRule="auto"/>
        <w:ind w:left="4"/>
        <w:outlineLvl w:val="1"/>
        <w:rPr>
          <w:rFonts w:ascii="Arial"/>
          <w:sz w:val="21"/>
        </w:rPr>
      </w:pPr>
      <w:r>
        <w:rPr>
          <w:rFonts w:hint="eastAsia"/>
          <w:b/>
          <w:bCs/>
          <w:spacing w:val="-1"/>
          <w:lang w:val="en-US" w:eastAsia="zh-CN"/>
        </w:rPr>
        <w:t>四、</w:t>
      </w:r>
      <w:r>
        <w:rPr>
          <w:b/>
          <w:bCs/>
          <w:spacing w:val="-1"/>
        </w:rPr>
        <w:t>供应商资格要求</w:t>
      </w:r>
    </w:p>
    <w:p w14:paraId="6D1F7CB4">
      <w:pPr>
        <w:pStyle w:val="3"/>
        <w:spacing w:before="178" w:line="181" w:lineRule="auto"/>
        <w:ind w:right="1" w:firstLine="385"/>
        <w:rPr>
          <w:rFonts w:hint="eastAsia"/>
          <w:spacing w:val="1"/>
          <w:lang w:eastAsia="zh-CN"/>
        </w:rPr>
      </w:pPr>
      <w:r>
        <w:rPr>
          <w:rFonts w:hint="eastAsia"/>
          <w:spacing w:val="1"/>
          <w:lang w:eastAsia="zh-CN"/>
        </w:rPr>
        <w:t>重庆西南铝医院薪酬分配方案设计咨询服务的供应商资格和能力要求 ：</w:t>
      </w:r>
    </w:p>
    <w:p w14:paraId="4456AC89">
      <w:pPr>
        <w:pStyle w:val="3"/>
        <w:spacing w:before="178" w:line="181" w:lineRule="auto"/>
        <w:ind w:right="1" w:firstLine="385"/>
        <w:rPr>
          <w:rFonts w:hint="eastAsia"/>
          <w:spacing w:val="1"/>
          <w:lang w:val="en-US" w:eastAsia="zh-CN"/>
        </w:rPr>
      </w:pPr>
      <w:r>
        <w:rPr>
          <w:rFonts w:hint="eastAsia"/>
          <w:spacing w:val="1"/>
          <w:lang w:val="en-US" w:eastAsia="zh-CN"/>
        </w:rPr>
        <w:t>1.</w:t>
      </w:r>
      <w:r>
        <w:rPr>
          <w:rFonts w:hint="eastAsia"/>
          <w:spacing w:val="1"/>
          <w:lang w:eastAsia="zh-CN"/>
        </w:rPr>
        <w:t>供应商须具备</w:t>
      </w:r>
      <w:r>
        <w:rPr>
          <w:rFonts w:hint="eastAsia"/>
          <w:spacing w:val="1"/>
          <w:lang w:val="en-US" w:eastAsia="zh-CN"/>
        </w:rPr>
        <w:t>有效的营业执照。</w:t>
      </w:r>
    </w:p>
    <w:p w14:paraId="74AFF339">
      <w:pPr>
        <w:pStyle w:val="3"/>
        <w:spacing w:before="178" w:line="181" w:lineRule="auto"/>
        <w:ind w:right="1" w:firstLine="385"/>
        <w:rPr>
          <w:rFonts w:hint="eastAsia"/>
          <w:spacing w:val="1"/>
          <w:lang w:eastAsia="zh-CN"/>
        </w:rPr>
      </w:pPr>
      <w:r>
        <w:rPr>
          <w:rFonts w:hint="eastAsia"/>
          <w:spacing w:val="1"/>
          <w:lang w:val="en-US" w:eastAsia="zh-CN"/>
        </w:rPr>
        <w:t>2.</w:t>
      </w:r>
      <w:r>
        <w:rPr>
          <w:rFonts w:hint="eastAsia"/>
          <w:spacing w:val="1"/>
          <w:lang w:eastAsia="zh-CN"/>
        </w:rPr>
        <w:t>供应商应</w:t>
      </w:r>
      <w:r>
        <w:rPr>
          <w:rFonts w:hint="eastAsia"/>
          <w:spacing w:val="1"/>
          <w:lang w:val="en-US" w:eastAsia="zh-CN"/>
        </w:rPr>
        <w:t>符合</w:t>
      </w:r>
      <w:r>
        <w:rPr>
          <w:rFonts w:hint="eastAsia"/>
          <w:spacing w:val="1"/>
          <w:lang w:eastAsia="zh-CN"/>
        </w:rPr>
        <w:t>《中华人民共和国政府采购法》第二十二条</w:t>
      </w:r>
      <w:r>
        <w:rPr>
          <w:rFonts w:hint="eastAsia"/>
          <w:spacing w:val="1"/>
          <w:lang w:val="en-US" w:eastAsia="zh-CN"/>
        </w:rPr>
        <w:t>及</w:t>
      </w:r>
      <w:r>
        <w:rPr>
          <w:rFonts w:hint="eastAsia"/>
          <w:spacing w:val="1"/>
          <w:lang w:eastAsia="zh-CN"/>
        </w:rPr>
        <w:t>《中华人民共和国政府采购法实施</w:t>
      </w:r>
      <w:r>
        <w:rPr>
          <w:rFonts w:hint="eastAsia"/>
          <w:spacing w:val="1"/>
          <w:lang w:val="en-US" w:eastAsia="zh-CN"/>
        </w:rPr>
        <w:t>条</w:t>
      </w:r>
      <w:r>
        <w:rPr>
          <w:rFonts w:hint="eastAsia"/>
          <w:spacing w:val="1"/>
          <w:lang w:eastAsia="zh-CN"/>
        </w:rPr>
        <w:t>例》第十七条的要求。</w:t>
      </w:r>
    </w:p>
    <w:p w14:paraId="4DB00D29">
      <w:pPr>
        <w:pStyle w:val="3"/>
        <w:spacing w:before="178" w:line="181" w:lineRule="auto"/>
        <w:ind w:right="1" w:firstLine="385"/>
        <w:rPr>
          <w:rFonts w:hint="eastAsia"/>
          <w:spacing w:val="1"/>
          <w:lang w:eastAsia="zh-CN"/>
        </w:rPr>
      </w:pPr>
      <w:r>
        <w:rPr>
          <w:rFonts w:hint="eastAsia"/>
          <w:spacing w:val="1"/>
          <w:lang w:val="en-US" w:eastAsia="zh-CN"/>
        </w:rPr>
        <w:t>3</w:t>
      </w:r>
      <w:r>
        <w:rPr>
          <w:rFonts w:hint="eastAsia"/>
          <w:spacing w:val="1"/>
          <w:lang w:eastAsia="zh-CN"/>
        </w:rPr>
        <w:t>.落实政府采购政策需满足的资格要求：</w:t>
      </w:r>
    </w:p>
    <w:p w14:paraId="6D0D52A5">
      <w:pPr>
        <w:pStyle w:val="3"/>
        <w:spacing w:before="178" w:line="181" w:lineRule="auto"/>
        <w:ind w:right="1" w:firstLine="385"/>
        <w:rPr>
          <w:rFonts w:hint="eastAsia"/>
          <w:spacing w:val="1"/>
          <w:lang w:eastAsia="zh-CN"/>
        </w:rPr>
      </w:pPr>
      <w:r>
        <w:rPr>
          <w:rFonts w:hint="eastAsia"/>
          <w:spacing w:val="1"/>
          <w:lang w:eastAsia="zh-CN"/>
        </w:rPr>
        <w:t>本项目属于专门面向中小微企业采购的项目。本项目中小</w:t>
      </w:r>
      <w:r>
        <w:rPr>
          <w:rFonts w:hint="eastAsia"/>
          <w:spacing w:val="1"/>
          <w:lang w:val="en-US" w:eastAsia="zh-CN"/>
        </w:rPr>
        <w:t>微</w:t>
      </w:r>
      <w:r>
        <w:rPr>
          <w:rFonts w:hint="eastAsia"/>
          <w:spacing w:val="1"/>
          <w:lang w:eastAsia="zh-CN"/>
        </w:rPr>
        <w:t>企业划分标准所属行业为：其他未列明行业。</w:t>
      </w:r>
    </w:p>
    <w:p w14:paraId="36F66FC6">
      <w:pPr>
        <w:pStyle w:val="3"/>
        <w:numPr>
          <w:ilvl w:val="0"/>
          <w:numId w:val="0"/>
        </w:numPr>
        <w:spacing w:before="178" w:line="181" w:lineRule="auto"/>
        <w:ind w:right="1" w:rightChars="0" w:firstLine="384" w:firstLineChars="200"/>
        <w:rPr>
          <w:rFonts w:hint="eastAsia"/>
          <w:spacing w:val="1"/>
          <w:lang w:eastAsia="zh-CN"/>
        </w:rPr>
      </w:pPr>
      <w:r>
        <w:rPr>
          <w:rFonts w:hint="eastAsia"/>
          <w:spacing w:val="1"/>
          <w:lang w:val="en-US" w:eastAsia="zh-CN"/>
        </w:rPr>
        <w:t>4.</w:t>
      </w:r>
      <w:r>
        <w:rPr>
          <w:rFonts w:hint="eastAsia"/>
          <w:spacing w:val="1"/>
          <w:lang w:eastAsia="zh-CN"/>
        </w:rPr>
        <w:t>供应商须具有健</w:t>
      </w:r>
      <w:r>
        <w:rPr>
          <w:rFonts w:hint="eastAsia"/>
          <w:spacing w:val="1"/>
          <w:lang w:val="en-US" w:eastAsia="zh-CN"/>
        </w:rPr>
        <w:t>全</w:t>
      </w:r>
      <w:r>
        <w:rPr>
          <w:rFonts w:hint="eastAsia"/>
          <w:spacing w:val="1"/>
          <w:lang w:eastAsia="zh-CN"/>
        </w:rPr>
        <w:t>的财务会计制度和良好的商业信誉，没有</w:t>
      </w:r>
      <w:r>
        <w:rPr>
          <w:rFonts w:hint="eastAsia"/>
          <w:spacing w:val="1"/>
          <w:lang w:val="en-US" w:eastAsia="zh-CN"/>
        </w:rPr>
        <w:t>处于</w:t>
      </w:r>
      <w:r>
        <w:rPr>
          <w:rFonts w:hint="eastAsia"/>
          <w:spacing w:val="1"/>
          <w:lang w:eastAsia="zh-CN"/>
        </w:rPr>
        <w:t>被责令停业，财产被接管、冻</w:t>
      </w:r>
      <w:r>
        <w:rPr>
          <w:rFonts w:hint="eastAsia"/>
          <w:spacing w:val="1"/>
          <w:lang w:val="en-US" w:eastAsia="zh-CN"/>
        </w:rPr>
        <w:t>结</w:t>
      </w:r>
      <w:r>
        <w:rPr>
          <w:rFonts w:hint="eastAsia"/>
          <w:spacing w:val="1"/>
          <w:lang w:eastAsia="zh-CN"/>
        </w:rPr>
        <w:t>、破产状态，提供2024年的财务</w:t>
      </w:r>
      <w:r>
        <w:rPr>
          <w:rFonts w:hint="eastAsia"/>
          <w:spacing w:val="1"/>
          <w:lang w:val="en-US" w:eastAsia="zh-CN"/>
        </w:rPr>
        <w:t>审计报</w:t>
      </w:r>
      <w:r>
        <w:rPr>
          <w:rFonts w:hint="eastAsia"/>
          <w:spacing w:val="1"/>
          <w:lang w:eastAsia="zh-CN"/>
        </w:rPr>
        <w:t>告或资信证明，新</w:t>
      </w:r>
      <w:r>
        <w:rPr>
          <w:rFonts w:hint="eastAsia"/>
          <w:spacing w:val="1"/>
          <w:lang w:val="en-US" w:eastAsia="zh-CN"/>
        </w:rPr>
        <w:t>成</w:t>
      </w:r>
      <w:r>
        <w:rPr>
          <w:rFonts w:hint="eastAsia"/>
          <w:spacing w:val="1"/>
          <w:lang w:eastAsia="zh-CN"/>
        </w:rPr>
        <w:t>立企业或</w:t>
      </w:r>
      <w:r>
        <w:rPr>
          <w:rFonts w:hint="eastAsia"/>
          <w:spacing w:val="1"/>
          <w:lang w:val="en-US" w:eastAsia="zh-CN"/>
        </w:rPr>
        <w:t>新成立</w:t>
      </w:r>
      <w:r>
        <w:rPr>
          <w:rFonts w:hint="eastAsia"/>
          <w:spacing w:val="1"/>
          <w:lang w:eastAsia="zh-CN"/>
        </w:rPr>
        <w:t>不满一年的企业提供三个月内财务报表或资信证明。</w:t>
      </w:r>
    </w:p>
    <w:p w14:paraId="1DC3A010">
      <w:pPr>
        <w:pStyle w:val="3"/>
        <w:numPr>
          <w:ilvl w:val="0"/>
          <w:numId w:val="0"/>
        </w:numPr>
        <w:spacing w:before="178" w:line="181" w:lineRule="auto"/>
        <w:ind w:right="1" w:rightChars="0" w:firstLine="384" w:firstLineChars="200"/>
        <w:rPr>
          <w:rFonts w:hint="eastAsia"/>
          <w:spacing w:val="1"/>
          <w:lang w:eastAsia="zh-CN"/>
        </w:rPr>
      </w:pPr>
      <w:r>
        <w:rPr>
          <w:rFonts w:hint="eastAsia"/>
          <w:spacing w:val="1"/>
          <w:lang w:val="en-US" w:eastAsia="zh-CN"/>
        </w:rPr>
        <w:t>5.</w:t>
      </w:r>
      <w:r>
        <w:rPr>
          <w:rFonts w:hint="eastAsia"/>
          <w:spacing w:val="1"/>
          <w:lang w:eastAsia="zh-CN"/>
        </w:rPr>
        <w:t>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资格审查人员于响应截止时间当天在“信用中国”网站（www.creditchina.gov.cn）及中国政府采购网（http：//www.ccgp.gov.cn/）查询结果为准，如相关失信记录已失效，供应商需提供相关证明资料）。</w:t>
      </w:r>
    </w:p>
    <w:p w14:paraId="157897C6">
      <w:pPr>
        <w:pStyle w:val="3"/>
        <w:spacing w:line="235" w:lineRule="auto"/>
        <w:ind w:left="390"/>
      </w:pPr>
      <w:r>
        <w:rPr>
          <w:rFonts w:hint="eastAsia" w:ascii="Arial" w:hAnsi="Arial" w:eastAsia="宋体" w:cs="Arial"/>
          <w:lang w:val="en-US" w:eastAsia="zh-CN"/>
        </w:rPr>
        <w:t>6.</w:t>
      </w:r>
      <w:r>
        <w:t>本次采购不接受联合体</w:t>
      </w:r>
      <w:r>
        <w:rPr>
          <w:rFonts w:hint="eastAsia"/>
          <w:lang w:val="en-US" w:eastAsia="zh-CN"/>
        </w:rPr>
        <w:t>参与</w:t>
      </w:r>
      <w:r>
        <w:t>。</w:t>
      </w:r>
    </w:p>
    <w:p w14:paraId="0654A210">
      <w:pPr>
        <w:pStyle w:val="3"/>
        <w:spacing w:before="205" w:line="190" w:lineRule="auto"/>
        <w:ind w:left="10"/>
        <w:outlineLvl w:val="1"/>
      </w:pPr>
      <w:r>
        <w:rPr>
          <w:rFonts w:hint="eastAsia"/>
          <w:b/>
          <w:bCs/>
          <w:spacing w:val="-2"/>
          <w:lang w:val="en-US" w:eastAsia="zh-CN"/>
        </w:rPr>
        <w:t>五</w:t>
      </w:r>
      <w:r>
        <w:rPr>
          <w:b/>
          <w:bCs/>
          <w:spacing w:val="-2"/>
        </w:rPr>
        <w:t>、</w:t>
      </w:r>
      <w:r>
        <w:rPr>
          <w:rFonts w:hint="eastAsia"/>
          <w:b/>
          <w:bCs/>
          <w:spacing w:val="-2"/>
          <w:lang w:val="en-US" w:eastAsia="zh-CN"/>
        </w:rPr>
        <w:t>报名时间和报名方式</w:t>
      </w:r>
    </w:p>
    <w:p w14:paraId="36BB4191">
      <w:pPr>
        <w:pStyle w:val="3"/>
        <w:spacing w:before="177" w:line="236" w:lineRule="auto"/>
        <w:ind w:left="383"/>
        <w:rPr>
          <w:rFonts w:ascii="Arial" w:hAnsi="Arial" w:eastAsia="Arial" w:cs="Arial"/>
          <w:color w:val="FF0000"/>
        </w:rPr>
      </w:pPr>
      <w:r>
        <w:rPr>
          <w:rFonts w:hint="eastAsia"/>
          <w:spacing w:val="-1"/>
          <w:lang w:val="en-US" w:eastAsia="zh-CN"/>
        </w:rPr>
        <w:t>报名</w:t>
      </w:r>
      <w:r>
        <w:rPr>
          <w:spacing w:val="-1"/>
        </w:rPr>
        <w:t>时间</w:t>
      </w:r>
      <w:r>
        <w:rPr>
          <w:spacing w:val="22"/>
          <w:w w:val="101"/>
        </w:rPr>
        <w:t xml:space="preserve"> </w:t>
      </w:r>
      <w:r>
        <w:rPr>
          <w:spacing w:val="-1"/>
        </w:rPr>
        <w:t>：</w:t>
      </w:r>
      <w:r>
        <w:rPr>
          <w:rFonts w:ascii="Arial" w:hAnsi="Arial" w:eastAsia="Arial" w:cs="Arial"/>
          <w:color w:val="FF0000"/>
          <w:spacing w:val="-1"/>
        </w:rPr>
        <w:t>2025-12-3</w:t>
      </w:r>
      <w:r>
        <w:rPr>
          <w:rFonts w:hint="eastAsia" w:ascii="Arial" w:hAnsi="Arial" w:eastAsia="宋体" w:cs="Arial"/>
          <w:color w:val="FF0000"/>
          <w:spacing w:val="-1"/>
          <w:lang w:val="en-US" w:eastAsia="zh-CN"/>
        </w:rPr>
        <w:t xml:space="preserve">1  </w:t>
      </w:r>
      <w:r>
        <w:rPr>
          <w:rFonts w:ascii="Arial" w:hAnsi="Arial" w:eastAsia="Arial" w:cs="Arial"/>
          <w:color w:val="FF0000"/>
          <w:spacing w:val="-1"/>
        </w:rPr>
        <w:t xml:space="preserve">17:00:00 </w:t>
      </w:r>
      <w:r>
        <w:rPr>
          <w:color w:val="FF0000"/>
          <w:spacing w:val="-1"/>
        </w:rPr>
        <w:t xml:space="preserve">到 </w:t>
      </w:r>
      <w:r>
        <w:rPr>
          <w:rFonts w:ascii="Arial" w:hAnsi="Arial" w:eastAsia="Arial" w:cs="Arial"/>
          <w:color w:val="FF0000"/>
          <w:spacing w:val="-1"/>
        </w:rPr>
        <w:t>2026-01-0</w:t>
      </w:r>
      <w:r>
        <w:rPr>
          <w:rFonts w:hint="eastAsia" w:ascii="Arial" w:hAnsi="Arial" w:eastAsia="宋体" w:cs="Arial"/>
          <w:color w:val="FF0000"/>
          <w:spacing w:val="-1"/>
          <w:lang w:val="en-US" w:eastAsia="zh-CN"/>
        </w:rPr>
        <w:t xml:space="preserve">7 </w:t>
      </w:r>
      <w:r>
        <w:rPr>
          <w:rFonts w:ascii="Arial" w:hAnsi="Arial" w:eastAsia="Arial" w:cs="Arial"/>
          <w:color w:val="FF0000"/>
          <w:spacing w:val="-1"/>
        </w:rPr>
        <w:t>1</w:t>
      </w:r>
      <w:r>
        <w:rPr>
          <w:rFonts w:ascii="Arial" w:hAnsi="Arial" w:eastAsia="Arial" w:cs="Arial"/>
          <w:color w:val="FF0000"/>
          <w:spacing w:val="-2"/>
        </w:rPr>
        <w:t>6:00:00</w:t>
      </w:r>
    </w:p>
    <w:p w14:paraId="688D81BB">
      <w:pPr>
        <w:pStyle w:val="3"/>
        <w:spacing w:before="108" w:line="184" w:lineRule="auto"/>
        <w:ind w:left="383"/>
        <w:rPr>
          <w:rFonts w:hint="eastAsia"/>
          <w:color w:val="C00000"/>
          <w:spacing w:val="-3"/>
        </w:rPr>
      </w:pPr>
      <w:r>
        <w:rPr>
          <w:rFonts w:hint="eastAsia"/>
          <w:spacing w:val="-3"/>
          <w:lang w:val="en-US" w:eastAsia="zh-CN"/>
        </w:rPr>
        <w:t>报名</w:t>
      </w:r>
      <w:r>
        <w:rPr>
          <w:spacing w:val="-3"/>
        </w:rPr>
        <w:t>方式：</w:t>
      </w:r>
      <w:r>
        <w:rPr>
          <w:rFonts w:hint="eastAsia"/>
          <w:spacing w:val="-3"/>
          <w:lang w:val="en-US" w:eastAsia="zh-CN"/>
        </w:rPr>
        <w:t>线上进行，将报名资料以</w:t>
      </w:r>
      <w:r>
        <w:rPr>
          <w:rFonts w:hint="default"/>
          <w:spacing w:val="-3"/>
          <w:lang w:val="en-US" w:eastAsia="zh-CN"/>
        </w:rPr>
        <w:t>PDF</w:t>
      </w:r>
      <w:r>
        <w:rPr>
          <w:rFonts w:hint="eastAsia"/>
          <w:spacing w:val="-3"/>
          <w:lang w:val="en-US" w:eastAsia="zh-CN"/>
        </w:rPr>
        <w:t>格式以附件方式上传到</w:t>
      </w:r>
      <w:r>
        <w:rPr>
          <w:rFonts w:hint="eastAsia"/>
          <w:color w:val="C00000"/>
          <w:spacing w:val="-3"/>
          <w:lang w:val="en-US" w:eastAsia="zh-CN"/>
        </w:rPr>
        <w:t>邮箱：1050030249@</w:t>
      </w:r>
      <w:r>
        <w:rPr>
          <w:rFonts w:hint="default"/>
          <w:color w:val="C00000"/>
          <w:spacing w:val="-3"/>
          <w:lang w:val="en-US" w:eastAsia="zh-CN"/>
        </w:rPr>
        <w:t>qq.com</w:t>
      </w:r>
      <w:r>
        <w:rPr>
          <w:color w:val="C00000"/>
          <w:spacing w:val="-3"/>
        </w:rPr>
        <w:t>。</w:t>
      </w:r>
      <w:r>
        <w:rPr>
          <w:rFonts w:hint="eastAsia"/>
          <w:color w:val="C00000"/>
          <w:spacing w:val="-3"/>
        </w:rPr>
        <w:t>邮件及附件命名为：</w:t>
      </w:r>
      <w:r>
        <w:rPr>
          <w:rFonts w:hint="eastAsia"/>
          <w:color w:val="C00000"/>
          <w:spacing w:val="-3"/>
          <w:lang w:val="en-US" w:eastAsia="zh-CN"/>
        </w:rPr>
        <w:t>项目</w:t>
      </w:r>
      <w:r>
        <w:rPr>
          <w:rFonts w:hint="eastAsia"/>
          <w:color w:val="C00000"/>
          <w:spacing w:val="-3"/>
        </w:rPr>
        <w:t>名称+供应商公司+联系方式。</w:t>
      </w:r>
    </w:p>
    <w:p w14:paraId="775DF154">
      <w:pPr>
        <w:pStyle w:val="3"/>
        <w:spacing w:before="108" w:line="184" w:lineRule="auto"/>
        <w:ind w:left="383"/>
        <w:rPr>
          <w:rFonts w:hint="default" w:eastAsia="PingFang SC"/>
          <w:color w:val="C00000"/>
          <w:spacing w:val="-3"/>
          <w:lang w:val="en-US" w:eastAsia="zh-CN"/>
        </w:rPr>
      </w:pPr>
      <w:r>
        <w:rPr>
          <w:rFonts w:hint="eastAsia"/>
          <w:color w:val="C00000"/>
          <w:spacing w:val="-3"/>
          <w:lang w:val="en-US" w:eastAsia="zh-CN"/>
        </w:rPr>
        <w:t>报名后，经审查，符合报名条件后，将采购文件发送到报名资料的邮箱。</w:t>
      </w:r>
    </w:p>
    <w:p w14:paraId="630D4D2A">
      <w:pPr>
        <w:pStyle w:val="3"/>
        <w:numPr>
          <w:ilvl w:val="0"/>
          <w:numId w:val="1"/>
        </w:numPr>
        <w:spacing w:before="217" w:line="190" w:lineRule="auto"/>
        <w:ind w:left="2"/>
        <w:outlineLvl w:val="1"/>
        <w:rPr>
          <w:rFonts w:hint="default"/>
          <w:b/>
          <w:bCs/>
          <w:spacing w:val="-1"/>
          <w:lang w:val="en-US" w:eastAsia="zh-CN"/>
        </w:rPr>
      </w:pPr>
      <w:r>
        <w:rPr>
          <w:rFonts w:hint="eastAsia"/>
          <w:b/>
          <w:bCs/>
          <w:spacing w:val="-1"/>
          <w:lang w:val="en-US" w:eastAsia="zh-CN"/>
        </w:rPr>
        <w:t>报名资料</w:t>
      </w:r>
    </w:p>
    <w:p w14:paraId="0C5CD8BA">
      <w:pPr>
        <w:pStyle w:val="3"/>
        <w:numPr>
          <w:ilvl w:val="0"/>
          <w:numId w:val="0"/>
        </w:numPr>
        <w:spacing w:before="217" w:line="190" w:lineRule="auto"/>
        <w:outlineLvl w:val="1"/>
        <w:rPr>
          <w:rFonts w:hint="default"/>
          <w:b/>
          <w:bCs/>
          <w:spacing w:val="-1"/>
          <w:lang w:val="en-US" w:eastAsia="zh-CN"/>
        </w:rPr>
      </w:pPr>
      <w:r>
        <w:rPr>
          <w:rFonts w:hint="eastAsia"/>
          <w:b/>
          <w:bCs/>
          <w:spacing w:val="-1"/>
          <w:lang w:val="en-US" w:eastAsia="zh-CN"/>
        </w:rPr>
        <w:t>供应商报名时须提供包含但不限于以下要求的电子PDF材料（复印件必须加盖单位公章），电子PDF材料为纸质材料的扫描件：</w:t>
      </w:r>
    </w:p>
    <w:p w14:paraId="0248376D">
      <w:pPr>
        <w:pStyle w:val="3"/>
        <w:numPr>
          <w:ilvl w:val="0"/>
          <w:numId w:val="0"/>
        </w:numPr>
        <w:spacing w:before="108" w:line="184" w:lineRule="auto"/>
        <w:ind w:leftChars="0" w:firstLine="368" w:firstLineChars="200"/>
        <w:rPr>
          <w:rFonts w:hint="eastAsia"/>
          <w:spacing w:val="-3"/>
          <w:lang w:val="en-US" w:eastAsia="zh-CN"/>
        </w:rPr>
      </w:pPr>
      <w:r>
        <w:rPr>
          <w:rFonts w:hint="eastAsia"/>
          <w:spacing w:val="-3"/>
          <w:lang w:val="en-US" w:eastAsia="zh-CN"/>
        </w:rPr>
        <w:t>1.企业营业执照、法人身份证复印件。</w:t>
      </w:r>
    </w:p>
    <w:p w14:paraId="563E8308">
      <w:pPr>
        <w:pStyle w:val="3"/>
        <w:numPr>
          <w:ilvl w:val="0"/>
          <w:numId w:val="0"/>
        </w:numPr>
        <w:spacing w:before="108" w:line="184" w:lineRule="auto"/>
        <w:ind w:leftChars="0" w:firstLine="368" w:firstLineChars="200"/>
        <w:rPr>
          <w:rFonts w:hint="default"/>
          <w:spacing w:val="-3"/>
          <w:lang w:val="en-US" w:eastAsia="zh-CN"/>
        </w:rPr>
      </w:pPr>
      <w:r>
        <w:rPr>
          <w:rFonts w:hint="eastAsia"/>
          <w:spacing w:val="-3"/>
          <w:lang w:val="en-US" w:eastAsia="zh-CN"/>
        </w:rPr>
        <w:t>2.</w:t>
      </w:r>
      <w:r>
        <w:rPr>
          <w:rFonts w:hint="default"/>
          <w:spacing w:val="-3"/>
          <w:lang w:val="en-US" w:eastAsia="zh-CN"/>
        </w:rPr>
        <w:t>2024年的财务</w:t>
      </w:r>
      <w:r>
        <w:rPr>
          <w:rFonts w:hint="eastAsia"/>
          <w:spacing w:val="-3"/>
          <w:lang w:val="en-US" w:eastAsia="zh-CN"/>
        </w:rPr>
        <w:t>审计报告或</w:t>
      </w:r>
      <w:r>
        <w:rPr>
          <w:rFonts w:hint="default"/>
          <w:spacing w:val="-3"/>
          <w:lang w:val="en-US" w:eastAsia="zh-CN"/>
        </w:rPr>
        <w:t>资</w:t>
      </w:r>
      <w:r>
        <w:rPr>
          <w:rFonts w:hint="eastAsia"/>
          <w:spacing w:val="-3"/>
          <w:lang w:val="en-US" w:eastAsia="zh-CN"/>
        </w:rPr>
        <w:t>信</w:t>
      </w:r>
      <w:r>
        <w:rPr>
          <w:rFonts w:hint="default"/>
          <w:spacing w:val="-3"/>
          <w:lang w:val="en-US" w:eastAsia="zh-CN"/>
        </w:rPr>
        <w:t>证明，新成立企业</w:t>
      </w:r>
      <w:r>
        <w:rPr>
          <w:rFonts w:hint="eastAsia"/>
          <w:spacing w:val="-3"/>
          <w:lang w:val="en-US" w:eastAsia="zh-CN"/>
        </w:rPr>
        <w:t>或</w:t>
      </w:r>
      <w:r>
        <w:rPr>
          <w:rFonts w:hint="default"/>
          <w:spacing w:val="-3"/>
          <w:lang w:val="en-US" w:eastAsia="zh-CN"/>
        </w:rPr>
        <w:t>成立不满一年的企业提供三个月内财务报</w:t>
      </w:r>
      <w:r>
        <w:rPr>
          <w:rFonts w:hint="eastAsia"/>
          <w:spacing w:val="-3"/>
          <w:lang w:val="en-US" w:eastAsia="zh-CN"/>
        </w:rPr>
        <w:t>表</w:t>
      </w:r>
      <w:r>
        <w:rPr>
          <w:rFonts w:hint="default"/>
          <w:spacing w:val="-3"/>
          <w:lang w:val="en-US" w:eastAsia="zh-CN"/>
        </w:rPr>
        <w:t>或资</w:t>
      </w:r>
      <w:r>
        <w:rPr>
          <w:rFonts w:hint="eastAsia"/>
          <w:spacing w:val="-3"/>
          <w:lang w:val="en-US" w:eastAsia="zh-CN"/>
        </w:rPr>
        <w:t>信</w:t>
      </w:r>
      <w:r>
        <w:rPr>
          <w:rFonts w:hint="default"/>
          <w:spacing w:val="-3"/>
          <w:lang w:val="en-US" w:eastAsia="zh-CN"/>
        </w:rPr>
        <w:t>证明</w:t>
      </w:r>
      <w:r>
        <w:rPr>
          <w:rFonts w:hint="eastAsia"/>
          <w:spacing w:val="-3"/>
          <w:lang w:val="en-US" w:eastAsia="zh-CN"/>
        </w:rPr>
        <w:t>。</w:t>
      </w:r>
    </w:p>
    <w:p w14:paraId="2DB29B84">
      <w:pPr>
        <w:pStyle w:val="3"/>
        <w:numPr>
          <w:ilvl w:val="0"/>
          <w:numId w:val="0"/>
        </w:numPr>
        <w:spacing w:before="108" w:line="184" w:lineRule="auto"/>
        <w:ind w:leftChars="0" w:firstLine="368" w:firstLineChars="200"/>
        <w:rPr>
          <w:rFonts w:hint="default"/>
          <w:spacing w:val="-3"/>
          <w:lang w:val="en-US" w:eastAsia="zh-CN"/>
        </w:rPr>
      </w:pPr>
      <w:r>
        <w:rPr>
          <w:rFonts w:hint="eastAsia"/>
          <w:spacing w:val="-3"/>
          <w:lang w:val="en-US" w:eastAsia="zh-CN"/>
        </w:rPr>
        <w:t>3.</w:t>
      </w:r>
      <w:r>
        <w:rPr>
          <w:rFonts w:hint="default"/>
          <w:spacing w:val="-3"/>
          <w:lang w:val="en-US" w:eastAsia="zh-CN"/>
        </w:rPr>
        <w:t>提供公告日期前半年任意一个月的纳税证明和社保证明</w:t>
      </w:r>
      <w:r>
        <w:rPr>
          <w:rFonts w:hint="eastAsia"/>
          <w:spacing w:val="-3"/>
          <w:lang w:val="en-US" w:eastAsia="zh-CN"/>
        </w:rPr>
        <w:t>。</w:t>
      </w:r>
    </w:p>
    <w:p w14:paraId="60209377">
      <w:pPr>
        <w:pStyle w:val="3"/>
        <w:numPr>
          <w:ilvl w:val="0"/>
          <w:numId w:val="0"/>
        </w:numPr>
        <w:spacing w:before="108" w:line="184" w:lineRule="auto"/>
        <w:ind w:leftChars="0" w:firstLine="368" w:firstLineChars="200"/>
        <w:rPr>
          <w:rFonts w:hint="default"/>
          <w:spacing w:val="-3"/>
          <w:lang w:val="en-US" w:eastAsia="zh-CN"/>
        </w:rPr>
      </w:pPr>
      <w:r>
        <w:rPr>
          <w:rFonts w:hint="eastAsia"/>
          <w:spacing w:val="-3"/>
          <w:lang w:val="en-US" w:eastAsia="zh-CN"/>
        </w:rPr>
        <w:t>4.提</w:t>
      </w:r>
      <w:r>
        <w:rPr>
          <w:rFonts w:hint="default"/>
          <w:spacing w:val="-3"/>
          <w:lang w:val="en-US" w:eastAsia="zh-CN"/>
        </w:rPr>
        <w:t>供</w:t>
      </w:r>
      <w:r>
        <w:rPr>
          <w:rFonts w:hint="eastAsia"/>
          <w:spacing w:val="-3"/>
          <w:lang w:val="en-US" w:eastAsia="zh-CN"/>
        </w:rPr>
        <w:t>本项目</w:t>
      </w:r>
      <w:r>
        <w:rPr>
          <w:rFonts w:hint="default"/>
          <w:spacing w:val="-3"/>
          <w:lang w:val="en-US" w:eastAsia="zh-CN"/>
        </w:rPr>
        <w:t>公告发布以后</w:t>
      </w:r>
      <w:r>
        <w:rPr>
          <w:rFonts w:hint="eastAsia"/>
          <w:spacing w:val="-3"/>
          <w:lang w:val="en-US" w:eastAsia="zh-CN"/>
        </w:rPr>
        <w:t>（</w:t>
      </w:r>
      <w:r>
        <w:rPr>
          <w:rFonts w:hint="default"/>
          <w:spacing w:val="-3"/>
          <w:lang w:val="en-US" w:eastAsia="zh-CN"/>
        </w:rPr>
        <w:t>含发布当日</w:t>
      </w:r>
      <w:r>
        <w:rPr>
          <w:rFonts w:hint="eastAsia"/>
          <w:spacing w:val="-3"/>
          <w:lang w:val="en-US" w:eastAsia="zh-CN"/>
        </w:rPr>
        <w:t>）</w:t>
      </w:r>
      <w:r>
        <w:rPr>
          <w:rFonts w:hint="default"/>
          <w:spacing w:val="-3"/>
          <w:lang w:val="en-US" w:eastAsia="zh-CN"/>
        </w:rPr>
        <w:t>“</w:t>
      </w:r>
      <w:r>
        <w:rPr>
          <w:rFonts w:hint="eastAsia"/>
          <w:spacing w:val="-3"/>
          <w:lang w:val="en-US" w:eastAsia="zh-CN"/>
        </w:rPr>
        <w:t>信</w:t>
      </w:r>
      <w:r>
        <w:rPr>
          <w:rFonts w:hint="default"/>
          <w:spacing w:val="-3"/>
          <w:lang w:val="en-US" w:eastAsia="zh-CN"/>
        </w:rPr>
        <w:t>用中国”的查询</w:t>
      </w:r>
      <w:r>
        <w:rPr>
          <w:rFonts w:hint="eastAsia"/>
          <w:spacing w:val="-3"/>
          <w:lang w:val="en-US" w:eastAsia="zh-CN"/>
        </w:rPr>
        <w:t>结</w:t>
      </w:r>
      <w:r>
        <w:rPr>
          <w:rFonts w:hint="default"/>
          <w:spacing w:val="-3"/>
          <w:lang w:val="en-US" w:eastAsia="zh-CN"/>
        </w:rPr>
        <w:t>果网</w:t>
      </w:r>
      <w:r>
        <w:rPr>
          <w:rFonts w:hint="eastAsia"/>
          <w:spacing w:val="-3"/>
          <w:lang w:val="en-US" w:eastAsia="zh-CN"/>
        </w:rPr>
        <w:t>页</w:t>
      </w:r>
      <w:r>
        <w:rPr>
          <w:rFonts w:hint="default"/>
          <w:spacing w:val="-3"/>
          <w:lang w:val="en-US" w:eastAsia="zh-CN"/>
        </w:rPr>
        <w:t>打印件。</w:t>
      </w:r>
    </w:p>
    <w:p w14:paraId="37037998">
      <w:pPr>
        <w:pStyle w:val="3"/>
        <w:numPr>
          <w:ilvl w:val="0"/>
          <w:numId w:val="0"/>
        </w:numPr>
        <w:spacing w:before="108" w:line="184" w:lineRule="auto"/>
        <w:ind w:leftChars="0" w:firstLine="368" w:firstLineChars="200"/>
        <w:rPr>
          <w:rFonts w:hint="default"/>
          <w:spacing w:val="-3"/>
          <w:lang w:val="en-US" w:eastAsia="zh-CN"/>
        </w:rPr>
      </w:pPr>
      <w:r>
        <w:rPr>
          <w:rFonts w:hint="eastAsia"/>
          <w:spacing w:val="-3"/>
          <w:lang w:val="en-US" w:eastAsia="zh-CN"/>
        </w:rPr>
        <w:t>5.项目联系人及联系电话。</w:t>
      </w:r>
    </w:p>
    <w:p w14:paraId="305EFA1B">
      <w:pPr>
        <w:pStyle w:val="3"/>
        <w:spacing w:before="217" w:line="190" w:lineRule="auto"/>
        <w:ind w:left="2"/>
        <w:outlineLvl w:val="1"/>
      </w:pPr>
      <w:r>
        <w:rPr>
          <w:rFonts w:hint="eastAsia"/>
          <w:b/>
          <w:bCs/>
          <w:spacing w:val="-1"/>
          <w:lang w:val="en-US" w:eastAsia="zh-CN"/>
        </w:rPr>
        <w:t>七、</w:t>
      </w:r>
      <w:r>
        <w:rPr>
          <w:b/>
          <w:bCs/>
          <w:spacing w:val="-1"/>
        </w:rPr>
        <w:t>报价文件的递交</w:t>
      </w:r>
    </w:p>
    <w:p w14:paraId="1AA6DC2F">
      <w:pPr>
        <w:pStyle w:val="3"/>
        <w:spacing w:before="177" w:line="236" w:lineRule="auto"/>
        <w:ind w:left="385"/>
        <w:rPr>
          <w:rFonts w:ascii="Arial" w:hAnsi="Arial" w:eastAsia="Arial" w:cs="Arial"/>
          <w:color w:val="FF0000"/>
        </w:rPr>
      </w:pPr>
      <w:r>
        <w:rPr>
          <w:rFonts w:hint="eastAsia"/>
          <w:spacing w:val="-1"/>
          <w:lang w:val="en-US" w:eastAsia="zh-CN"/>
        </w:rPr>
        <w:t>1.</w:t>
      </w:r>
      <w:r>
        <w:rPr>
          <w:spacing w:val="-1"/>
        </w:rPr>
        <w:t>递交截止时间</w:t>
      </w:r>
      <w:r>
        <w:rPr>
          <w:rFonts w:hint="eastAsia"/>
          <w:spacing w:val="-1"/>
          <w:lang w:eastAsia="zh-CN"/>
        </w:rPr>
        <w:t>：</w:t>
      </w:r>
      <w:r>
        <w:rPr>
          <w:rFonts w:ascii="Arial" w:hAnsi="Arial" w:eastAsia="Arial" w:cs="Arial"/>
          <w:color w:val="FF0000"/>
          <w:spacing w:val="-1"/>
        </w:rPr>
        <w:t>2026-01-0</w:t>
      </w:r>
      <w:r>
        <w:rPr>
          <w:rFonts w:hint="eastAsia" w:ascii="Arial" w:hAnsi="Arial" w:eastAsia="宋体" w:cs="Arial"/>
          <w:color w:val="FF0000"/>
          <w:spacing w:val="-1"/>
          <w:lang w:val="en-US" w:eastAsia="zh-CN"/>
        </w:rPr>
        <w:t>9</w:t>
      </w:r>
      <w:r>
        <w:rPr>
          <w:rFonts w:ascii="Arial" w:hAnsi="Arial" w:eastAsia="Arial" w:cs="Arial"/>
          <w:color w:val="FF0000"/>
          <w:spacing w:val="-1"/>
        </w:rPr>
        <w:t xml:space="preserve"> 09:30:00</w:t>
      </w:r>
    </w:p>
    <w:p w14:paraId="477E30EE">
      <w:pPr>
        <w:pStyle w:val="3"/>
        <w:spacing w:before="110" w:line="190" w:lineRule="auto"/>
        <w:ind w:left="385"/>
      </w:pPr>
      <w:r>
        <w:rPr>
          <w:rFonts w:hint="eastAsia"/>
          <w:spacing w:val="-1"/>
          <w:lang w:val="en-US" w:eastAsia="zh-CN"/>
        </w:rPr>
        <w:t>2.</w:t>
      </w:r>
      <w:r>
        <w:rPr>
          <w:spacing w:val="-1"/>
        </w:rPr>
        <w:t>递交方式</w:t>
      </w:r>
      <w:r>
        <w:rPr>
          <w:rFonts w:hint="eastAsia"/>
          <w:spacing w:val="-1"/>
          <w:lang w:eastAsia="zh-CN"/>
        </w:rPr>
        <w:t>：</w:t>
      </w:r>
      <w:r>
        <w:rPr>
          <w:spacing w:val="-1"/>
        </w:rPr>
        <w:t>线下</w:t>
      </w:r>
    </w:p>
    <w:p w14:paraId="15E5971C">
      <w:pPr>
        <w:pStyle w:val="3"/>
        <w:spacing w:before="117" w:line="236" w:lineRule="auto"/>
        <w:ind w:left="384"/>
        <w:rPr>
          <w:rFonts w:hint="default"/>
          <w:lang w:val="en-US"/>
        </w:rPr>
      </w:pPr>
      <w:r>
        <w:rPr>
          <w:rFonts w:hint="eastAsia"/>
          <w:lang w:val="en-US" w:eastAsia="zh-CN"/>
        </w:rPr>
        <w:t>3.</w:t>
      </w:r>
      <w:r>
        <w:t>递交地点</w:t>
      </w:r>
      <w:r>
        <w:rPr>
          <w:rFonts w:hint="eastAsia"/>
          <w:lang w:eastAsia="zh-CN"/>
        </w:rPr>
        <w:t>：</w:t>
      </w:r>
      <w:r>
        <w:rPr>
          <w:spacing w:val="-1"/>
        </w:rPr>
        <w:t>重庆市九龙坡区西彭镇西华路</w:t>
      </w:r>
      <w:r>
        <w:rPr>
          <w:rFonts w:ascii="Arial" w:hAnsi="Arial" w:eastAsia="Arial" w:cs="Arial"/>
          <w:spacing w:val="-1"/>
        </w:rPr>
        <w:t>15</w:t>
      </w:r>
      <w:r>
        <w:rPr>
          <w:spacing w:val="-1"/>
        </w:rPr>
        <w:t>号</w:t>
      </w:r>
      <w:r>
        <w:rPr>
          <w:rFonts w:hint="eastAsia"/>
          <w:spacing w:val="-1"/>
          <w:lang w:val="en-US" w:eastAsia="zh-CN"/>
        </w:rPr>
        <w:t>门诊楼4楼420房间</w:t>
      </w:r>
    </w:p>
    <w:p w14:paraId="788C9498">
      <w:pPr>
        <w:pStyle w:val="3"/>
        <w:spacing w:before="168" w:line="192" w:lineRule="auto"/>
        <w:ind w:left="1"/>
        <w:outlineLvl w:val="1"/>
      </w:pPr>
      <w:r>
        <w:rPr>
          <w:rFonts w:hint="eastAsia"/>
          <w:b/>
          <w:bCs/>
          <w:spacing w:val="-1"/>
          <w:lang w:val="en-US" w:eastAsia="zh-CN"/>
        </w:rPr>
        <w:t>八</w:t>
      </w:r>
      <w:r>
        <w:rPr>
          <w:b/>
          <w:bCs/>
          <w:spacing w:val="-1"/>
        </w:rPr>
        <w:t>、开启时间及地点</w:t>
      </w:r>
    </w:p>
    <w:p w14:paraId="402F3D65">
      <w:pPr>
        <w:pStyle w:val="3"/>
        <w:spacing w:before="175" w:line="236" w:lineRule="auto"/>
        <w:ind w:left="386"/>
        <w:rPr>
          <w:rFonts w:ascii="Arial" w:hAnsi="Arial" w:eastAsia="Arial" w:cs="Arial"/>
          <w:color w:val="FF0000"/>
        </w:rPr>
      </w:pPr>
      <w:r>
        <w:rPr>
          <w:rFonts w:hint="eastAsia"/>
          <w:spacing w:val="-1"/>
          <w:lang w:val="en-US" w:eastAsia="zh-CN"/>
        </w:rPr>
        <w:t>1.</w:t>
      </w:r>
      <w:r>
        <w:rPr>
          <w:spacing w:val="-1"/>
        </w:rPr>
        <w:t>开启时间</w:t>
      </w:r>
      <w:r>
        <w:rPr>
          <w:rFonts w:hint="eastAsia"/>
          <w:spacing w:val="-1"/>
          <w:lang w:eastAsia="zh-CN"/>
        </w:rPr>
        <w:t>：</w:t>
      </w:r>
      <w:r>
        <w:rPr>
          <w:rFonts w:ascii="Arial" w:hAnsi="Arial" w:eastAsia="Arial" w:cs="Arial"/>
          <w:color w:val="FF0000"/>
          <w:spacing w:val="-1"/>
        </w:rPr>
        <w:t>2026-01-0</w:t>
      </w:r>
      <w:r>
        <w:rPr>
          <w:rFonts w:hint="eastAsia" w:ascii="Arial" w:hAnsi="Arial" w:eastAsia="宋体" w:cs="Arial"/>
          <w:color w:val="FF0000"/>
          <w:spacing w:val="-1"/>
          <w:lang w:val="en-US" w:eastAsia="zh-CN"/>
        </w:rPr>
        <w:t>9</w:t>
      </w:r>
      <w:r>
        <w:rPr>
          <w:rFonts w:ascii="Arial" w:hAnsi="Arial" w:eastAsia="Arial" w:cs="Arial"/>
          <w:color w:val="FF0000"/>
          <w:spacing w:val="-1"/>
        </w:rPr>
        <w:t xml:space="preserve"> 09:30:00</w:t>
      </w:r>
    </w:p>
    <w:p w14:paraId="561C953E">
      <w:pPr>
        <w:pStyle w:val="3"/>
        <w:spacing w:before="117" w:line="236" w:lineRule="auto"/>
        <w:ind w:left="384"/>
        <w:rPr>
          <w:color w:val="FF0000"/>
          <w:spacing w:val="-1"/>
        </w:rPr>
      </w:pPr>
      <w:r>
        <w:rPr>
          <w:rFonts w:hint="eastAsia"/>
          <w:lang w:val="en-US" w:eastAsia="zh-CN"/>
        </w:rPr>
        <w:t>2.</w:t>
      </w:r>
      <w:r>
        <w:t>开启地点</w:t>
      </w:r>
      <w:r>
        <w:rPr>
          <w:rFonts w:hint="eastAsia"/>
          <w:lang w:eastAsia="zh-CN"/>
        </w:rPr>
        <w:t>：</w:t>
      </w:r>
      <w:r>
        <w:rPr>
          <w:spacing w:val="-1"/>
        </w:rPr>
        <w:t>重庆市九龙坡区西彭镇西华路</w:t>
      </w:r>
      <w:r>
        <w:rPr>
          <w:rFonts w:ascii="Arial" w:hAnsi="Arial" w:eastAsia="Arial" w:cs="Arial"/>
          <w:spacing w:val="-1"/>
        </w:rPr>
        <w:t>15</w:t>
      </w:r>
      <w:r>
        <w:rPr>
          <w:spacing w:val="-1"/>
        </w:rPr>
        <w:t>号</w:t>
      </w:r>
      <w:r>
        <w:rPr>
          <w:rFonts w:hint="eastAsia"/>
          <w:color w:val="FF0000"/>
          <w:lang w:val="en-US" w:eastAsia="zh-CN"/>
        </w:rPr>
        <w:t>门诊楼</w:t>
      </w:r>
      <w:r>
        <w:rPr>
          <w:rFonts w:ascii="Arial" w:hAnsi="Arial" w:eastAsia="Arial" w:cs="Arial"/>
          <w:color w:val="FF0000"/>
        </w:rPr>
        <w:t>4</w:t>
      </w:r>
      <w:r>
        <w:rPr>
          <w:rFonts w:hint="eastAsia" w:ascii="Arial" w:hAnsi="Arial" w:eastAsia="宋体" w:cs="Arial"/>
          <w:color w:val="FF0000"/>
          <w:lang w:val="en-US" w:eastAsia="zh-CN"/>
        </w:rPr>
        <w:t>09</w:t>
      </w:r>
      <w:r>
        <w:rPr>
          <w:color w:val="FF0000"/>
        </w:rPr>
        <w:t>会</w:t>
      </w:r>
      <w:r>
        <w:rPr>
          <w:color w:val="FF0000"/>
          <w:spacing w:val="-1"/>
        </w:rPr>
        <w:t>议室</w:t>
      </w:r>
    </w:p>
    <w:p w14:paraId="4BED4D77">
      <w:pPr>
        <w:spacing w:line="236" w:lineRule="auto"/>
      </w:pPr>
    </w:p>
    <w:p w14:paraId="25EC240C">
      <w:pPr>
        <w:pStyle w:val="3"/>
        <w:spacing w:before="87" w:line="190" w:lineRule="auto"/>
        <w:outlineLvl w:val="1"/>
      </w:pPr>
      <w:r>
        <w:rPr>
          <w:rFonts w:hint="eastAsia"/>
          <w:b/>
          <w:bCs/>
          <w:spacing w:val="-1"/>
          <w:lang w:val="en-US" w:eastAsia="zh-CN"/>
        </w:rPr>
        <w:t>九</w:t>
      </w:r>
      <w:r>
        <w:rPr>
          <w:b/>
          <w:bCs/>
          <w:spacing w:val="-1"/>
        </w:rPr>
        <w:t>、监督部门</w:t>
      </w:r>
    </w:p>
    <w:p w14:paraId="35E49A5E">
      <w:pPr>
        <w:pStyle w:val="3"/>
        <w:spacing w:before="205" w:line="191" w:lineRule="auto"/>
        <w:ind w:left="386"/>
      </w:pPr>
      <w:r>
        <w:rPr>
          <w:spacing w:val="-2"/>
        </w:rPr>
        <w:t>本采购项目的监督部门为</w:t>
      </w:r>
      <w:r>
        <w:rPr>
          <w:rFonts w:hint="eastAsia"/>
          <w:spacing w:val="-2"/>
          <w:lang w:eastAsia="zh-CN"/>
        </w:rPr>
        <w:t>：</w:t>
      </w:r>
      <w:r>
        <w:rPr>
          <w:rFonts w:hint="eastAsia"/>
          <w:spacing w:val="-2"/>
          <w:lang w:val="en-US" w:eastAsia="zh-CN"/>
        </w:rPr>
        <w:t>审计部门</w:t>
      </w:r>
      <w:r>
        <w:rPr>
          <w:spacing w:val="-2"/>
        </w:rPr>
        <w:t>。</w:t>
      </w:r>
    </w:p>
    <w:p w14:paraId="1B6E13E8">
      <w:pPr>
        <w:pStyle w:val="3"/>
        <w:spacing w:before="205" w:line="190" w:lineRule="auto"/>
        <w:ind w:left="1"/>
        <w:outlineLvl w:val="1"/>
      </w:pPr>
      <w:r>
        <w:rPr>
          <w:rFonts w:hint="eastAsia"/>
          <w:b/>
          <w:bCs/>
          <w:spacing w:val="-1"/>
          <w:lang w:val="en-US" w:eastAsia="zh-CN"/>
        </w:rPr>
        <w:t>十</w:t>
      </w:r>
      <w:r>
        <w:rPr>
          <w:b/>
          <w:bCs/>
          <w:spacing w:val="-1"/>
        </w:rPr>
        <w:t>、联系方式</w:t>
      </w:r>
    </w:p>
    <w:p w14:paraId="144034CD">
      <w:pPr>
        <w:pStyle w:val="3"/>
        <w:spacing w:before="110" w:line="189" w:lineRule="auto"/>
        <w:ind w:left="385"/>
        <w:rPr>
          <w:rFonts w:hint="default" w:eastAsia="PingFang SC"/>
          <w:color w:val="FF0000"/>
          <w:lang w:val="en-US" w:eastAsia="zh-CN"/>
        </w:rPr>
      </w:pPr>
      <w:r>
        <w:rPr>
          <w:spacing w:val="-7"/>
        </w:rPr>
        <w:t>联 系 人</w:t>
      </w:r>
      <w:r>
        <w:rPr>
          <w:rFonts w:hint="eastAsia"/>
          <w:spacing w:val="-7"/>
          <w:lang w:eastAsia="zh-CN"/>
        </w:rPr>
        <w:t>：</w:t>
      </w:r>
      <w:r>
        <w:rPr>
          <w:rFonts w:hint="eastAsia"/>
          <w:color w:val="FF0000"/>
          <w:spacing w:val="-7"/>
          <w:lang w:val="en-US" w:eastAsia="zh-CN"/>
        </w:rPr>
        <w:t>邓先生</w:t>
      </w:r>
    </w:p>
    <w:p w14:paraId="4B8B9DE4">
      <w:pPr>
        <w:pStyle w:val="3"/>
        <w:spacing w:before="118" w:line="237" w:lineRule="auto"/>
        <w:ind w:left="395"/>
        <w:rPr>
          <w:rFonts w:hint="default" w:ascii="Arial" w:hAnsi="Arial" w:eastAsia="PingFang SC" w:cs="Arial"/>
          <w:color w:val="FF0000"/>
          <w:lang w:val="en-US" w:eastAsia="zh-CN"/>
        </w:rPr>
      </w:pPr>
      <w:r>
        <w:rPr>
          <w:spacing w:val="-4"/>
        </w:rPr>
        <w:t xml:space="preserve">电 </w:t>
      </w:r>
      <w:r>
        <w:rPr>
          <w:rFonts w:hint="eastAsia"/>
          <w:spacing w:val="-4"/>
          <w:lang w:val="en-US" w:eastAsia="zh-CN"/>
        </w:rPr>
        <w:t xml:space="preserve">    </w:t>
      </w:r>
      <w:r>
        <w:rPr>
          <w:spacing w:val="-4"/>
        </w:rPr>
        <w:t>话</w:t>
      </w:r>
      <w:r>
        <w:rPr>
          <w:rFonts w:hint="eastAsia"/>
          <w:spacing w:val="-4"/>
          <w:lang w:eastAsia="zh-CN"/>
        </w:rPr>
        <w:t>：</w:t>
      </w:r>
      <w:r>
        <w:rPr>
          <w:rFonts w:hint="eastAsia" w:ascii="Arial" w:hAnsi="Arial" w:eastAsia="宋体" w:cs="Arial"/>
          <w:spacing w:val="-4"/>
          <w:lang w:val="en-US" w:eastAsia="zh-CN"/>
        </w:rPr>
        <w:t>13996142227</w:t>
      </w:r>
    </w:p>
    <w:p w14:paraId="3AD2E7C4">
      <w:pPr>
        <w:spacing w:line="440" w:lineRule="auto"/>
        <w:rPr>
          <w:rFonts w:ascii="Arial"/>
          <w:sz w:val="21"/>
        </w:rPr>
      </w:pPr>
    </w:p>
    <w:p w14:paraId="7F8C8238">
      <w:pPr>
        <w:pStyle w:val="3"/>
        <w:spacing w:before="97" w:line="221" w:lineRule="auto"/>
        <w:ind w:left="2"/>
        <w:rPr>
          <w:sz w:val="21"/>
          <w:szCs w:val="21"/>
        </w:rPr>
      </w:pPr>
    </w:p>
    <w:sectPr>
      <w:pgSz w:w="11900" w:h="16840"/>
      <w:pgMar w:top="549" w:right="901" w:bottom="0" w:left="81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Trebuchet MS">
    <w:panose1 w:val="020B0603020202020204"/>
    <w:charset w:val="00"/>
    <w:family w:val="auto"/>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E5C03"/>
    <w:multiLevelType w:val="singleLevel"/>
    <w:tmpl w:val="E5FE5C0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FF5BBF2"/>
    <w:rsid w:val="17FBBA93"/>
    <w:rsid w:val="37FFD742"/>
    <w:rsid w:val="44A13EE3"/>
    <w:rsid w:val="4EFC54C5"/>
    <w:rsid w:val="50C36A0F"/>
    <w:rsid w:val="5FE66521"/>
    <w:rsid w:val="613503FF"/>
    <w:rsid w:val="6ED3AB70"/>
    <w:rsid w:val="6EED2C2C"/>
    <w:rsid w:val="77ECD723"/>
    <w:rsid w:val="7EFDC32A"/>
    <w:rsid w:val="7EFF970E"/>
    <w:rsid w:val="DDFF49DF"/>
    <w:rsid w:val="E7D8C96B"/>
    <w:rsid w:val="FDFB0B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z正文"/>
    <w:basedOn w:val="1"/>
    <w:qFormat/>
    <w:uiPriority w:val="0"/>
    <w:pPr>
      <w:ind w:firstLine="560" w:firstLineChars="200"/>
    </w:pPr>
    <w:rPr>
      <w:rFonts w:eastAsia="仿宋_GB2312" w:cs="宋体"/>
      <w:sz w:val="28"/>
    </w:rPr>
  </w:style>
  <w:style w:type="paragraph" w:styleId="3">
    <w:name w:val="Body Text"/>
    <w:basedOn w:val="1"/>
    <w:semiHidden/>
    <w:qFormat/>
    <w:uiPriority w:val="0"/>
    <w:rPr>
      <w:rFonts w:ascii="PingFang SC" w:hAnsi="PingFang SC" w:eastAsia="PingFang SC" w:cs="PingFang SC"/>
      <w:sz w:val="19"/>
      <w:szCs w:val="19"/>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null3"/>
    <w:qFormat/>
    <w:uiPriority w:val="0"/>
    <w:rPr>
      <w:rFonts w:hint="eastAsia" w:ascii="Calibri" w:hAnsi="Calibri" w:eastAsia="宋体" w:cs="Times New Roman"/>
      <w:lang w:val="en-US" w:eastAsia="en-US"/>
    </w:rPr>
  </w:style>
  <w:style w:type="paragraph" w:customStyle="1" w:styleId="9">
    <w:name w:val="Table Text"/>
    <w:semiHidden/>
    <w:qFormat/>
    <w:uiPriority w:val="0"/>
    <w:pPr>
      <w:snapToGrid w:val="0"/>
      <w:spacing w:before="80" w:after="80"/>
    </w:pPr>
    <w:rPr>
      <w:rFonts w:ascii="Arial" w:hAnsi="Arial"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1352</Words>
  <Characters>1578</Characters>
  <TotalTime>4</TotalTime>
  <ScaleCrop>false</ScaleCrop>
  <LinksUpToDate>false</LinksUpToDate>
  <CharactersWithSpaces>1608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2026-01-01T00:32:00Z</dcterms:created>
  <dc:creator>Data</dc:creator>
  <cp:lastModifiedBy>邓伟红</cp:lastModifiedBy>
  <dcterms:modified xsi:type="dcterms:W3CDTF">2026-01-05T03:37:24Z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2025-12-31T10:45:31Z</vt:filetime>
  </property>
  <property fmtid="{D5CDD505-2E9C-101B-9397-08002B2CF9AE}" pid="4" name="KSOProductBuildVer">
    <vt:lpwstr>2052-12.1.0.24034</vt:lpwstr>
  </property>
  <property fmtid="{D5CDD505-2E9C-101B-9397-08002B2CF9AE}" pid="5" name="ICV">
    <vt:lpwstr>984E9DCA31B1413BB8485CAD9C365D99_13</vt:lpwstr>
  </property>
  <property fmtid="{D5CDD505-2E9C-101B-9397-08002B2CF9AE}" pid="6" name="KSOTemplateDocerSaveRecord">
    <vt:lpwstr>eyJoZGlkIjoiNGEzZDA4ZjZiNmFlYWMyNGYyZTgxMzZjMTgyY2RmOWIiLCJ1c2VySWQiOiIxNDU1OTI1NzAyIn0=</vt:lpwstr>
  </property>
</Properties>
</file>